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928675" w14:textId="30B1110B" w:rsidR="003A1DF8" w:rsidRPr="00714AF7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714AF7" w:rsidRPr="00714AF7">
        <w:rPr>
          <w:rFonts w:ascii="Garamond" w:hAnsi="Garamond" w:cs="Tahoma"/>
          <w:sz w:val="22"/>
          <w:szCs w:val="22"/>
        </w:rPr>
        <w:t>Montessorilaan 3</w:t>
      </w:r>
    </w:p>
    <w:p w14:paraId="3E9EEE62" w14:textId="5A1F0752" w:rsidR="00714AF7" w:rsidRPr="00714AF7" w:rsidRDefault="003A1DF8" w:rsidP="00714AF7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ab/>
      </w:r>
      <w:r>
        <w:rPr>
          <w:rFonts w:ascii="Garamond" w:hAnsi="Garamond" w:cs="Tahoma"/>
          <w:sz w:val="22"/>
          <w:szCs w:val="22"/>
          <w:lang w:val="en-US"/>
        </w:rPr>
        <w:tab/>
      </w:r>
      <w:r>
        <w:rPr>
          <w:rFonts w:ascii="Garamond" w:hAnsi="Garamond" w:cs="Tahoma"/>
          <w:sz w:val="22"/>
          <w:szCs w:val="22"/>
          <w:lang w:val="en-US"/>
        </w:rPr>
        <w:tab/>
      </w:r>
      <w:r>
        <w:rPr>
          <w:rFonts w:ascii="Garamond" w:hAnsi="Garamond" w:cs="Tahoma"/>
          <w:sz w:val="22"/>
          <w:szCs w:val="22"/>
          <w:lang w:val="en-US"/>
        </w:rPr>
        <w:tab/>
      </w:r>
      <w:r w:rsidR="00714AF7" w:rsidRPr="00714AF7">
        <w:rPr>
          <w:rFonts w:ascii="Garamond" w:hAnsi="Garamond" w:cs="Tahoma"/>
          <w:sz w:val="22"/>
          <w:szCs w:val="22"/>
          <w:lang w:val="en-US"/>
        </w:rPr>
        <w:t>6525 HR</w:t>
      </w:r>
      <w:r w:rsidR="00714AF7">
        <w:rPr>
          <w:rFonts w:ascii="Garamond" w:hAnsi="Garamond" w:cs="Tahoma"/>
          <w:sz w:val="22"/>
          <w:szCs w:val="22"/>
          <w:lang w:val="en-US"/>
        </w:rPr>
        <w:t xml:space="preserve"> Nijmegen</w:t>
      </w:r>
    </w:p>
    <w:p w14:paraId="1DAB2939" w14:textId="08F51E7A" w:rsidR="005C7441" w:rsidRPr="00633429" w:rsidRDefault="005C7441" w:rsidP="00714AF7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633429">
        <w:rPr>
          <w:rFonts w:ascii="Garamond" w:hAnsi="Garamond" w:cs="Tahoma"/>
          <w:sz w:val="22"/>
          <w:szCs w:val="22"/>
          <w:lang w:val="en-US"/>
        </w:rPr>
        <w:t>The Netherlands</w:t>
      </w:r>
    </w:p>
    <w:p w14:paraId="4A5937F0" w14:textId="585F316A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+31 (</w:t>
      </w:r>
      <w:r w:rsidR="00714AF7">
        <w:rPr>
          <w:rFonts w:ascii="Garamond" w:hAnsi="Garamond" w:cs="Tahoma"/>
          <w:sz w:val="22"/>
          <w:szCs w:val="22"/>
          <w:lang w:val="en-US"/>
        </w:rPr>
        <w:t>0</w:t>
      </w:r>
      <w:r w:rsidRPr="00A232DD">
        <w:rPr>
          <w:rFonts w:ascii="Garamond" w:hAnsi="Garamond" w:cs="Tahoma"/>
          <w:sz w:val="22"/>
          <w:szCs w:val="22"/>
          <w:lang w:val="en-US"/>
        </w:rPr>
        <w:t>)</w:t>
      </w:r>
      <w:r w:rsidR="00714AF7">
        <w:rPr>
          <w:rFonts w:ascii="Garamond" w:hAnsi="Garamond" w:cs="Tahoma"/>
          <w:sz w:val="22"/>
          <w:szCs w:val="22"/>
          <w:lang w:val="en-US"/>
        </w:rPr>
        <w:t>24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  <w:r w:rsidR="00714AF7">
        <w:rPr>
          <w:rFonts w:ascii="Garamond" w:hAnsi="Garamond" w:cs="Tahoma"/>
          <w:sz w:val="22"/>
          <w:szCs w:val="22"/>
          <w:lang w:val="en-US"/>
        </w:rPr>
        <w:t>361 12321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1C14D6A2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1846B9">
        <w:rPr>
          <w:rFonts w:ascii="Garamond" w:hAnsi="Garamond"/>
          <w:sz w:val="22"/>
          <w:szCs w:val="22"/>
          <w:lang w:val="en-US"/>
        </w:rPr>
        <w:t>M.vandervleuten</w:t>
      </w:r>
      <w:r w:rsidR="003A1DF8">
        <w:rPr>
          <w:rFonts w:ascii="Garamond" w:hAnsi="Garamond"/>
          <w:sz w:val="22"/>
          <w:szCs w:val="22"/>
          <w:lang w:val="en-US"/>
        </w:rPr>
        <w:t>@</w:t>
      </w:r>
      <w:r w:rsidR="001846B9">
        <w:rPr>
          <w:rFonts w:ascii="Garamond" w:hAnsi="Garamond"/>
          <w:sz w:val="22"/>
          <w:szCs w:val="22"/>
          <w:lang w:val="en-US"/>
        </w:rPr>
        <w:t>maw.ru.nl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89BF0E7" w14:textId="0744B1CE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(2017 –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current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)</w:t>
      </w:r>
    </w:p>
    <w:p w14:paraId="330735EE" w14:textId="7207941C" w:rsidR="00CC7CE6" w:rsidRPr="001B532B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</w:t>
      </w:r>
      <w:r w:rsidR="003C1D8F" w:rsidRPr="001B532B">
        <w:rPr>
          <w:rFonts w:ascii="Garamond" w:hAnsi="Garamond" w:cs="Tahoma"/>
          <w:bCs/>
          <w:iCs/>
          <w:sz w:val="22"/>
          <w:szCs w:val="22"/>
          <w:lang w:val="en-US"/>
        </w:rPr>
        <w:t>logy</w:t>
      </w:r>
      <w:r w:rsidR="00AB7B01"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="003C1D8F"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6D0947C" w14:textId="77777777" w:rsidR="00CC7CE6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76F0AEB" w14:textId="5DCC0DDE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2329613C" w14:textId="4CBA7075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Dissertation title: “</w:t>
      </w:r>
      <w:r w:rsidR="00FE0F20">
        <w:rPr>
          <w:rFonts w:ascii="Garamond" w:hAnsi="Garamond" w:cs="Tahoma"/>
          <w:bCs/>
          <w:sz w:val="22"/>
          <w:szCs w:val="22"/>
          <w:lang w:val="en-US"/>
        </w:rPr>
        <w:t>Gendered Choices.</w:t>
      </w: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  <w:r w:rsidR="00FE0F20">
        <w:rPr>
          <w:rFonts w:ascii="Garamond" w:hAnsi="Garamond" w:cs="Tahoma"/>
          <w:bCs/>
          <w:sz w:val="22"/>
          <w:szCs w:val="22"/>
          <w:lang w:val="en-US"/>
        </w:rPr>
        <w:t>F</w:t>
      </w:r>
      <w:r w:rsidRPr="00A232DD">
        <w:rPr>
          <w:rFonts w:ascii="Garamond" w:hAnsi="Garamond" w:cs="Tahoma"/>
          <w:bCs/>
          <w:sz w:val="22"/>
          <w:szCs w:val="22"/>
          <w:lang w:val="en-US"/>
        </w:rPr>
        <w:t>ield</w:t>
      </w:r>
      <w:r w:rsidR="00FE0F20">
        <w:rPr>
          <w:rFonts w:ascii="Garamond" w:hAnsi="Garamond" w:cs="Tahoma"/>
          <w:bCs/>
          <w:sz w:val="22"/>
          <w:szCs w:val="22"/>
          <w:lang w:val="en-US"/>
        </w:rPr>
        <w:t>s</w:t>
      </w: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of study of adolescents in the Netherlands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”</w:t>
      </w:r>
    </w:p>
    <w:p w14:paraId="0583F09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Advisors: Dr. Eva Jaspers, prof. dr. </w:t>
      </w:r>
      <w:r w:rsidRPr="00A232DD">
        <w:rPr>
          <w:rFonts w:ascii="Garamond" w:hAnsi="Garamond" w:cs="Tahoma"/>
          <w:bCs/>
          <w:iCs/>
          <w:sz w:val="22"/>
          <w:szCs w:val="22"/>
        </w:rPr>
        <w:t xml:space="preserve">Ineke Maas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</w:rPr>
        <w:t xml:space="preserve"> prof. dr. ir. Tanja van der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</w:rPr>
        <w:t>Lippe</w:t>
      </w:r>
      <w:proofErr w:type="spellEnd"/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MA Sociology and Social Research</w:t>
      </w:r>
      <w:r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7F221448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Master thesis title: ‘Gender Roles in Contexts: how gender role expectations and societal characteristics influence same-sex couples’ paid and household labor’</w:t>
      </w:r>
    </w:p>
    <w:p w14:paraId="59710DE8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Advisor: dr. Eva Jaspers and prof. dr. 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ir.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Tanja van der Lippe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176F4FE0" w14:textId="77777777" w:rsidR="005C7441" w:rsidRPr="00A232DD" w:rsidRDefault="005C7441" w:rsidP="0024321F">
      <w:pPr>
        <w:jc w:val="both"/>
        <w:rPr>
          <w:rStyle w:val="x66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Minor: </w:t>
      </w:r>
      <w:r w:rsidRPr="00A232DD">
        <w:rPr>
          <w:rStyle w:val="x66"/>
          <w:rFonts w:ascii="Garamond" w:hAnsi="Garamond"/>
          <w:sz w:val="22"/>
          <w:szCs w:val="22"/>
          <w:lang w:val="en-US"/>
        </w:rPr>
        <w:t xml:space="preserve">Methods and Statistics </w:t>
      </w:r>
    </w:p>
    <w:p w14:paraId="2457F5F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Honours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Program</w:t>
      </w:r>
    </w:p>
    <w:p w14:paraId="5D845B1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Bachelor thesis title: Effect of Live Music Performances on Quality of Life of People with Dementia</w:t>
      </w:r>
    </w:p>
    <w:p w14:paraId="39A7C1C6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Advisor: dr. 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Ludwien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Meeuwesen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 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59A8B8FE" w14:textId="77777777" w:rsidR="005C7441" w:rsidRPr="00A232DD" w:rsidRDefault="005C7441" w:rsidP="0024321F">
      <w:pPr>
        <w:jc w:val="both"/>
        <w:rPr>
          <w:rFonts w:ascii="Garamond" w:hAnsi="Garamond" w:cs="Calibri"/>
          <w:bCs/>
          <w:iCs/>
          <w:sz w:val="22"/>
          <w:szCs w:val="22"/>
          <w:lang w:val="en-US"/>
        </w:rPr>
      </w:pPr>
    </w:p>
    <w:p w14:paraId="38CDC3FD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3AB5A78" w14:textId="4FBA7CCB" w:rsidR="00462CC8" w:rsidRDefault="005C7441" w:rsidP="00462CC8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3DD36A10" w14:textId="0610DAF9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hyperlink r:id="rId5" w:history="1">
        <w:r w:rsidRPr="008D762C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6436A6FB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8D762C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p.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6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7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77777777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lastRenderedPageBreak/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p. 181-200. </w:t>
      </w:r>
      <w:hyperlink r:id="rId8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9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7F3CF3D8" w14:textId="77777777" w:rsidR="000B0483" w:rsidRPr="00F57B2B" w:rsidRDefault="000B0483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5CB46E37" w14:textId="77777777" w:rsidR="005C7441" w:rsidRPr="00F57B2B" w:rsidRDefault="005C7441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 w:rsidRPr="00F57B2B">
        <w:rPr>
          <w:rFonts w:ascii="Garamond" w:hAnsi="Garamond"/>
          <w:b/>
          <w:sz w:val="22"/>
          <w:szCs w:val="22"/>
          <w:lang w:val="en-US"/>
        </w:rPr>
        <w:t>Other:</w:t>
      </w:r>
    </w:p>
    <w:p w14:paraId="484D44BF" w14:textId="586A2AD1" w:rsidR="00A419D6" w:rsidRDefault="00A419D6" w:rsidP="00306AEB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 w:rsidR="0001586F"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 w:rsidR="0001586F"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 w:rsidR="0001586F"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 w:rsidR="0001586F"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 w:rsidR="0001586F"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 w:rsidR="0001586F"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 w:rsidR="0001586F"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 w:rsidR="0001586F"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 w:rsidR="0001586F"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 w:rsidR="0001586F"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 w:rsidR="0001586F">
        <w:rPr>
          <w:rFonts w:ascii="Garamond" w:hAnsi="Garamond"/>
          <w:sz w:val="22"/>
          <w:szCs w:val="22"/>
          <w:lang w:val="en-US"/>
        </w:rPr>
        <w:t>, 110p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7E5586BB" w14:textId="5CD50CC6" w:rsidR="0001586F" w:rsidRPr="00A419D6" w:rsidRDefault="0001586F" w:rsidP="0001586F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61F6454B" w14:textId="76A2C8AA" w:rsidR="004F3AA4" w:rsidRPr="004F3AA4" w:rsidRDefault="004F3AA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4F3AA4">
        <w:rPr>
          <w:rFonts w:ascii="Garamond" w:hAnsi="Garamond"/>
          <w:sz w:val="22"/>
          <w:szCs w:val="22"/>
        </w:rPr>
        <w:t xml:space="preserve">Van der Vleuten, M. (2010). Het effect van de </w:t>
      </w:r>
      <w:r w:rsidR="00CA2D0A" w:rsidRPr="004F3AA4">
        <w:rPr>
          <w:rFonts w:ascii="Garamond" w:hAnsi="Garamond"/>
          <w:sz w:val="22"/>
          <w:szCs w:val="22"/>
        </w:rPr>
        <w:t>muziekoptredens</w:t>
      </w:r>
      <w:r w:rsidRPr="004F3AA4">
        <w:rPr>
          <w:rFonts w:ascii="Garamond" w:hAnsi="Garamond"/>
          <w:sz w:val="22"/>
          <w:szCs w:val="22"/>
        </w:rPr>
        <w:t xml:space="preserve"> van stichting Diva Dichtbij op de dimensies participatie en mentaal welbevinden van kwaliteit van </w:t>
      </w:r>
      <w:proofErr w:type="spellStart"/>
      <w:r w:rsidRPr="004F3AA4">
        <w:rPr>
          <w:rFonts w:ascii="Garamond" w:hAnsi="Garamond"/>
          <w:sz w:val="22"/>
          <w:szCs w:val="22"/>
        </w:rPr>
        <w:t>levenvan</w:t>
      </w:r>
      <w:proofErr w:type="spellEnd"/>
      <w:r w:rsidRPr="004F3AA4">
        <w:rPr>
          <w:rFonts w:ascii="Garamond" w:hAnsi="Garamond"/>
          <w:sz w:val="22"/>
          <w:szCs w:val="22"/>
        </w:rPr>
        <w:t xml:space="preserve"> dementerenden [The effect </w:t>
      </w:r>
      <w:proofErr w:type="spellStart"/>
      <w:r w:rsidRPr="004F3AA4">
        <w:rPr>
          <w:rFonts w:ascii="Garamond" w:hAnsi="Garamond"/>
          <w:sz w:val="22"/>
          <w:szCs w:val="22"/>
        </w:rPr>
        <w:t>ofmusic</w:t>
      </w:r>
      <w:proofErr w:type="spellEnd"/>
      <w:r w:rsidRPr="004F3AA4">
        <w:rPr>
          <w:rFonts w:ascii="Garamond" w:hAnsi="Garamond"/>
          <w:sz w:val="22"/>
          <w:szCs w:val="22"/>
        </w:rPr>
        <w:t xml:space="preserve"> </w:t>
      </w:r>
      <w:proofErr w:type="spellStart"/>
      <w:r w:rsidRPr="004F3AA4">
        <w:rPr>
          <w:rFonts w:ascii="Garamond" w:hAnsi="Garamond"/>
          <w:sz w:val="22"/>
          <w:szCs w:val="22"/>
        </w:rPr>
        <w:t>performancesonthe</w:t>
      </w:r>
      <w:proofErr w:type="spellEnd"/>
      <w:r w:rsidRPr="004F3AA4">
        <w:rPr>
          <w:rFonts w:ascii="Garamond" w:hAnsi="Garamond"/>
          <w:sz w:val="22"/>
          <w:szCs w:val="22"/>
        </w:rPr>
        <w:t xml:space="preserve"> </w:t>
      </w:r>
      <w:proofErr w:type="spellStart"/>
      <w:r w:rsidRPr="004F3AA4">
        <w:rPr>
          <w:rFonts w:ascii="Garamond" w:hAnsi="Garamond"/>
          <w:sz w:val="22"/>
          <w:szCs w:val="22"/>
        </w:rPr>
        <w:t>qualityoflife</w:t>
      </w:r>
      <w:proofErr w:type="spellEnd"/>
      <w:r w:rsidRPr="004F3AA4">
        <w:rPr>
          <w:rFonts w:ascii="Garamond" w:hAnsi="Garamond"/>
          <w:sz w:val="22"/>
          <w:szCs w:val="22"/>
        </w:rPr>
        <w:t xml:space="preserve"> of </w:t>
      </w:r>
      <w:proofErr w:type="spellStart"/>
      <w:r w:rsidRPr="004F3AA4">
        <w:rPr>
          <w:rFonts w:ascii="Garamond" w:hAnsi="Garamond"/>
          <w:sz w:val="22"/>
          <w:szCs w:val="22"/>
        </w:rPr>
        <w:t>people</w:t>
      </w:r>
      <w:proofErr w:type="spellEnd"/>
      <w:r w:rsidRPr="004F3AA4">
        <w:rPr>
          <w:rFonts w:ascii="Garamond" w:hAnsi="Garamond"/>
          <w:sz w:val="22"/>
          <w:szCs w:val="22"/>
        </w:rPr>
        <w:t xml:space="preserve"> </w:t>
      </w:r>
      <w:proofErr w:type="spellStart"/>
      <w:r w:rsidRPr="004F3AA4">
        <w:rPr>
          <w:rFonts w:ascii="Garamond" w:hAnsi="Garamond"/>
          <w:sz w:val="22"/>
          <w:szCs w:val="22"/>
        </w:rPr>
        <w:t>with</w:t>
      </w:r>
      <w:proofErr w:type="spellEnd"/>
      <w:r w:rsidRPr="004F3AA4">
        <w:rPr>
          <w:rFonts w:ascii="Garamond" w:hAnsi="Garamond"/>
          <w:sz w:val="22"/>
          <w:szCs w:val="22"/>
        </w:rPr>
        <w:t xml:space="preserve"> dementia]. </w:t>
      </w:r>
      <w:proofErr w:type="spellStart"/>
      <w:r w:rsidRPr="004F3AA4">
        <w:rPr>
          <w:rFonts w:ascii="Garamond" w:hAnsi="Garamond"/>
          <w:i/>
          <w:iCs/>
          <w:sz w:val="22"/>
          <w:szCs w:val="22"/>
        </w:rPr>
        <w:t>Faculty</w:t>
      </w:r>
      <w:proofErr w:type="spellEnd"/>
      <w:r w:rsidRPr="004F3AA4">
        <w:rPr>
          <w:rFonts w:ascii="Garamond" w:hAnsi="Garamond"/>
          <w:i/>
          <w:iCs/>
          <w:sz w:val="22"/>
          <w:szCs w:val="22"/>
        </w:rPr>
        <w:t xml:space="preserve"> of </w:t>
      </w:r>
      <w:proofErr w:type="spellStart"/>
      <w:r w:rsidRPr="004F3AA4">
        <w:rPr>
          <w:rFonts w:ascii="Garamond" w:hAnsi="Garamond"/>
          <w:i/>
          <w:iCs/>
          <w:sz w:val="22"/>
          <w:szCs w:val="22"/>
        </w:rPr>
        <w:t>Social</w:t>
      </w:r>
      <w:proofErr w:type="spellEnd"/>
      <w:r w:rsidRPr="004F3AA4">
        <w:rPr>
          <w:rFonts w:ascii="Garamond" w:hAnsi="Garamond"/>
          <w:i/>
          <w:iCs/>
          <w:sz w:val="22"/>
          <w:szCs w:val="22"/>
        </w:rPr>
        <w:t xml:space="preserve"> Sciences, Utrecht</w:t>
      </w:r>
      <w:r w:rsidRPr="004F3AA4">
        <w:rPr>
          <w:rFonts w:ascii="Garamond" w:hAnsi="Garamond"/>
          <w:sz w:val="22"/>
          <w:szCs w:val="22"/>
        </w:rPr>
        <w:t>.</w:t>
      </w:r>
    </w:p>
    <w:p w14:paraId="4CF11679" w14:textId="2D420F5D" w:rsidR="005C7441" w:rsidRPr="00A232DD" w:rsidRDefault="004F3AA4" w:rsidP="004F3AA4">
      <w:pPr>
        <w:ind w:left="426" w:hanging="426"/>
        <w:jc w:val="both"/>
        <w:rPr>
          <w:rFonts w:ascii="Garamond" w:hAnsi="Garamond"/>
          <w:i/>
          <w:sz w:val="22"/>
          <w:szCs w:val="22"/>
        </w:rPr>
      </w:pPr>
      <w:r w:rsidRPr="004F3AA4">
        <w:rPr>
          <w:rFonts w:ascii="Garamond" w:hAnsi="Garamond"/>
          <w:sz w:val="22"/>
          <w:szCs w:val="22"/>
        </w:rPr>
        <w:t xml:space="preserve"> </w:t>
      </w:r>
      <w:r w:rsidR="005C7441" w:rsidRPr="00A232DD">
        <w:rPr>
          <w:rFonts w:ascii="Garamond" w:hAnsi="Garamond"/>
          <w:sz w:val="22"/>
          <w:szCs w:val="22"/>
        </w:rPr>
        <w:t>Van der Vleuten, M.</w:t>
      </w:r>
      <w:r w:rsidR="005C7441" w:rsidRPr="00A232DD">
        <w:rPr>
          <w:rFonts w:ascii="Garamond" w:hAnsi="Garamond"/>
          <w:i/>
          <w:sz w:val="22"/>
          <w:szCs w:val="22"/>
        </w:rPr>
        <w:t xml:space="preserve"> </w:t>
      </w:r>
      <w:r w:rsidR="005C7441" w:rsidRPr="00A232DD">
        <w:rPr>
          <w:rFonts w:ascii="Garamond" w:hAnsi="Garamond"/>
          <w:sz w:val="22"/>
          <w:szCs w:val="22"/>
        </w:rPr>
        <w:t>(2007)</w:t>
      </w:r>
      <w:r w:rsidR="005C7441" w:rsidRPr="00A232DD">
        <w:rPr>
          <w:rFonts w:ascii="Garamond" w:hAnsi="Garamond"/>
          <w:i/>
          <w:sz w:val="22"/>
          <w:szCs w:val="22"/>
        </w:rPr>
        <w:t xml:space="preserve"> Normen en waarden: een onderzoek naar generatie verschillen [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norms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and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values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 xml:space="preserve">: 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differences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between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5C7441" w:rsidRPr="00A232DD">
        <w:rPr>
          <w:rFonts w:ascii="Garamond" w:hAnsi="Garamond"/>
          <w:i/>
          <w:sz w:val="22"/>
          <w:szCs w:val="22"/>
        </w:rPr>
        <w:t>generations</w:t>
      </w:r>
      <w:proofErr w:type="spellEnd"/>
      <w:r w:rsidR="005C7441" w:rsidRPr="00A232DD">
        <w:rPr>
          <w:rFonts w:ascii="Garamond" w:hAnsi="Garamond"/>
          <w:i/>
          <w:sz w:val="22"/>
          <w:szCs w:val="22"/>
        </w:rPr>
        <w:t>].</w:t>
      </w:r>
      <w:r w:rsidR="005C7441" w:rsidRPr="00A232DD">
        <w:rPr>
          <w:rFonts w:ascii="Garamond" w:hAnsi="Garamond"/>
          <w:sz w:val="22"/>
          <w:szCs w:val="22"/>
        </w:rPr>
        <w:t xml:space="preserve"> Nederlandse </w:t>
      </w:r>
      <w:r w:rsidR="0001586F" w:rsidRPr="00A232DD">
        <w:rPr>
          <w:rFonts w:ascii="Garamond" w:hAnsi="Garamond"/>
          <w:sz w:val="22"/>
          <w:szCs w:val="22"/>
        </w:rPr>
        <w:t>Vereniging</w:t>
      </w:r>
      <w:r w:rsidR="005C7441" w:rsidRPr="00A232DD">
        <w:rPr>
          <w:rFonts w:ascii="Garamond" w:hAnsi="Garamond"/>
          <w:sz w:val="22"/>
          <w:szCs w:val="22"/>
        </w:rPr>
        <w:t xml:space="preserve"> voor Maatschappijleer. </w:t>
      </w:r>
      <w:proofErr w:type="spellStart"/>
      <w:r w:rsidR="005C7441" w:rsidRPr="00A232DD">
        <w:rPr>
          <w:rFonts w:ascii="Garamond" w:hAnsi="Garamond"/>
          <w:sz w:val="22"/>
          <w:szCs w:val="22"/>
        </w:rPr>
        <w:t>From</w:t>
      </w:r>
      <w:proofErr w:type="spellEnd"/>
      <w:r w:rsidR="005C7441" w:rsidRPr="00A232DD">
        <w:rPr>
          <w:rFonts w:ascii="Garamond" w:hAnsi="Garamond"/>
          <w:sz w:val="22"/>
          <w:szCs w:val="22"/>
        </w:rPr>
        <w:t>:</w:t>
      </w:r>
    </w:p>
    <w:p w14:paraId="57F7F23A" w14:textId="77777777" w:rsidR="005C7441" w:rsidRPr="00A232DD" w:rsidRDefault="005C7441" w:rsidP="0024321F">
      <w:pPr>
        <w:ind w:left="426" w:hanging="426"/>
        <w:jc w:val="both"/>
        <w:rPr>
          <w:rFonts w:ascii="Garamond" w:hAnsi="Garamond" w:cs="Tahoma"/>
          <w:bCs/>
          <w:iCs/>
          <w:sz w:val="22"/>
          <w:szCs w:val="22"/>
        </w:rPr>
      </w:pPr>
      <w:proofErr w:type="gramStart"/>
      <w:r w:rsidRPr="00A232DD">
        <w:rPr>
          <w:rFonts w:ascii="Garamond" w:hAnsi="Garamond"/>
          <w:sz w:val="22"/>
          <w:szCs w:val="22"/>
        </w:rPr>
        <w:t>http://nvlm.nl/wordpress/wp-content/uploads/2009/07/normen_en_waarden.pdf</w:t>
      </w:r>
      <w:proofErr w:type="gramEnd"/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545F8316" w14:textId="181ADB42" w:rsidR="005C7441" w:rsidRPr="008D762C" w:rsidRDefault="00714AF7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In </w:t>
      </w:r>
      <w:proofErr w:type="spellStart"/>
      <w:r>
        <w:rPr>
          <w:rFonts w:ascii="Garamond" w:hAnsi="Garamond"/>
          <w:b/>
          <w:sz w:val="22"/>
          <w:szCs w:val="22"/>
        </w:rPr>
        <w:t>progress</w:t>
      </w:r>
      <w:proofErr w:type="spellEnd"/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235F43CA" w14:textId="7368B73E" w:rsidR="005C7441" w:rsidRPr="00C82442" w:rsidRDefault="005C7441" w:rsidP="00C82442">
      <w:pPr>
        <w:ind w:left="426" w:hanging="426"/>
        <w:jc w:val="both"/>
        <w:rPr>
          <w:rFonts w:ascii="Garamond" w:hAnsi="Garamond" w:cs="Tahoma"/>
          <w:bCs/>
          <w:i/>
          <w:iCs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(201</w:t>
      </w:r>
      <w:r w:rsidR="0024321F">
        <w:rPr>
          <w:rFonts w:ascii="Garamond" w:hAnsi="Garamond"/>
          <w:sz w:val="22"/>
          <w:szCs w:val="22"/>
        </w:rPr>
        <w:t>9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</w:p>
    <w:p w14:paraId="4FD69F6E" w14:textId="134AB94A" w:rsidR="00C82442" w:rsidRPr="00F57B2B" w:rsidRDefault="005C7441" w:rsidP="00F57B2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Maas, I.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&amp;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Weesie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>, J.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(201</w:t>
      </w:r>
      <w:r w:rsidR="0024321F"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) Sibling influence in field of study choices. </w:t>
      </w:r>
    </w:p>
    <w:p w14:paraId="6830759A" w14:textId="58782F82" w:rsidR="00F57B2B" w:rsidRDefault="00F57B2B" w:rsidP="00F57B2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Explaining gender differentials in trajectory choices in secondary education: The role of comparative advantage.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1634F5BB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D77E51F" w14:textId="77777777" w:rsidR="008B3720" w:rsidRPr="006D098A" w:rsidRDefault="008B3720" w:rsidP="008B3720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proofErr w:type="spellStart"/>
      <w:r w:rsidRPr="006D098A">
        <w:rPr>
          <w:rFonts w:ascii="Garamond" w:hAnsi="Garamond" w:cs="Tahoma"/>
          <w:b/>
          <w:bCs/>
          <w:iCs/>
          <w:sz w:val="22"/>
          <w:szCs w:val="22"/>
        </w:rPr>
        <w:t>Book</w:t>
      </w:r>
      <w:proofErr w:type="spellEnd"/>
      <w:r w:rsidRPr="006D098A">
        <w:rPr>
          <w:rFonts w:ascii="Garamond" w:hAnsi="Garamond" w:cs="Tahoma"/>
          <w:b/>
          <w:bCs/>
          <w:iCs/>
          <w:sz w:val="22"/>
          <w:szCs w:val="22"/>
        </w:rPr>
        <w:t xml:space="preserve"> review</w:t>
      </w:r>
    </w:p>
    <w:p w14:paraId="5B9DBAE4" w14:textId="77777777" w:rsidR="008B3720" w:rsidRPr="006D098A" w:rsidRDefault="008B3720" w:rsidP="008B3720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8938C" wp14:editId="0A31194F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D4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09AA57E2" w14:textId="6F1A2E0F" w:rsidR="005403FC" w:rsidRPr="00154AD2" w:rsidRDefault="008B3720" w:rsidP="00154AD2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AD6AFC">
        <w:rPr>
          <w:rFonts w:ascii="Garamond" w:hAnsi="Garamond" w:cs="Tahoma"/>
          <w:bCs/>
          <w:iCs/>
          <w:sz w:val="22"/>
          <w:szCs w:val="22"/>
        </w:rPr>
        <w:t>Roeters</w:t>
      </w:r>
      <w:proofErr w:type="spellEnd"/>
      <w:r w:rsidRPr="00AD6AFC">
        <w:rPr>
          <w:rFonts w:ascii="Garamond" w:hAnsi="Garamond" w:cs="Tahoma"/>
          <w:bCs/>
          <w:iCs/>
          <w:sz w:val="22"/>
          <w:szCs w:val="22"/>
        </w:rPr>
        <w:t>, Veerman &amp; Jaspers (201</w:t>
      </w:r>
      <w:r>
        <w:rPr>
          <w:rFonts w:ascii="Garamond" w:hAnsi="Garamond" w:cs="Tahoma"/>
          <w:bCs/>
          <w:iCs/>
          <w:sz w:val="22"/>
          <w:szCs w:val="22"/>
        </w:rPr>
        <w:t>7</w:t>
      </w:r>
      <w:r w:rsidRPr="00AD6AFC">
        <w:rPr>
          <w:rFonts w:ascii="Garamond" w:hAnsi="Garamond" w:cs="Tahoma"/>
          <w:bCs/>
          <w:iCs/>
          <w:sz w:val="22"/>
          <w:szCs w:val="22"/>
        </w:rPr>
        <w:t>). 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60B71739" w14:textId="02CAA570" w:rsidR="00270CCB" w:rsidRPr="00CA2D0A" w:rsidRDefault="00270CC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3F70BB29" w14:textId="77777777" w:rsidR="00FB09F3" w:rsidRPr="00CA2D0A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CA2D0A">
        <w:rPr>
          <w:rFonts w:ascii="Garamond" w:hAnsi="Garamond" w:cs="Tahoma"/>
          <w:b/>
          <w:bCs/>
          <w:iCs/>
          <w:sz w:val="22"/>
          <w:szCs w:val="22"/>
        </w:rPr>
        <w:t>Publications aimed at the general public</w:t>
      </w:r>
    </w:p>
    <w:p w14:paraId="62C8FB38" w14:textId="77777777" w:rsidR="00FB09F3" w:rsidRPr="00CA2D0A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535A7FB0" w14:textId="77777777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Van der Vleuten, M</w:t>
      </w:r>
      <w:r>
        <w:rPr>
          <w:rFonts w:ascii="Garamond" w:hAnsi="Garamond" w:cs="Tahoma"/>
          <w:bCs/>
          <w:iCs/>
          <w:sz w:val="22"/>
          <w:szCs w:val="22"/>
        </w:rPr>
        <w:t xml:space="preserve">. (2018). </w:t>
      </w:r>
      <w:bookmarkStart w:id="0" w:name="_GoBack"/>
      <w:r w:rsidRPr="0041586E">
        <w:rPr>
          <w:rFonts w:ascii="Garamond" w:hAnsi="Garamond" w:cs="Tahoma"/>
          <w:bCs/>
          <w:iCs/>
          <w:sz w:val="22"/>
          <w:szCs w:val="22"/>
        </w:rPr>
        <w:t>Pod</w:t>
      </w:r>
      <w:bookmarkEnd w:id="0"/>
      <w:r w:rsidRPr="0041586E">
        <w:rPr>
          <w:rFonts w:ascii="Garamond" w:hAnsi="Garamond" w:cs="Tahoma"/>
          <w:bCs/>
          <w:iCs/>
          <w:sz w:val="22"/>
          <w:szCs w:val="22"/>
        </w:rPr>
        <w:t xml:space="preserve">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10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E175CD" w14:textId="77777777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5 (Mei): 28-29. </w:t>
      </w:r>
    </w:p>
    <w:p w14:paraId="517124C5" w14:textId="77777777" w:rsidR="00FB09F3" w:rsidRPr="00CC11CA" w:rsidRDefault="00FB09F3" w:rsidP="00FB09F3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CC11CA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Mei: 10-11. </w:t>
      </w:r>
      <w:proofErr w:type="gramStart"/>
      <w:r w:rsidRPr="00CC11CA">
        <w:rPr>
          <w:rFonts w:ascii="Garamond" w:hAnsi="Garamond" w:cs="Tahoma"/>
          <w:bCs/>
          <w:iCs/>
          <w:sz w:val="22"/>
          <w:szCs w:val="22"/>
        </w:rPr>
        <w:t>https://vrouwennetwerk.sites.uu.nl/wp-content/uploads/sites/42/2018/05/pandora-2018-mei-spreads.pdf</w:t>
      </w:r>
      <w:proofErr w:type="gramEnd"/>
    </w:p>
    <w:p w14:paraId="7C9C7799" w14:textId="77777777" w:rsidR="00FB09F3" w:rsidRPr="005F5323" w:rsidRDefault="00FB09F3" w:rsidP="00FB09F3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</w:rPr>
        <w:t xml:space="preserve">Van der Vleuten, M (2018).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DuB</w:t>
      </w:r>
      <w:proofErr w:type="spellEnd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. </w:t>
      </w:r>
      <w:hyperlink r:id="rId11" w:history="1">
        <w:r w:rsidRPr="005F5323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https://www.dub.uu.nl/nl/achtergrond/genderstereotiepe-studiekeuze-blame-your-friends-and-family</w:t>
        </w:r>
      </w:hyperlink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3397CAD" w14:textId="54A02F31" w:rsidR="00FB09F3" w:rsidRPr="00FB09F3" w:rsidRDefault="00FB09F3" w:rsidP="00FB09F3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gramStart"/>
      <w:r w:rsidRPr="000D25A7">
        <w:rPr>
          <w:rFonts w:ascii="Garamond" w:hAnsi="Garamond" w:cs="Tahoma"/>
          <w:bCs/>
          <w:iCs/>
          <w:sz w:val="22"/>
          <w:szCs w:val="22"/>
        </w:rPr>
        <w:t>van</w:t>
      </w:r>
      <w:proofErr w:type="gramEnd"/>
      <w:r w:rsidRPr="000D25A7">
        <w:rPr>
          <w:rFonts w:ascii="Garamond" w:hAnsi="Garamond" w:cs="Tahoma"/>
          <w:bCs/>
          <w:iCs/>
          <w:sz w:val="22"/>
          <w:szCs w:val="22"/>
        </w:rPr>
        <w:t xml:space="preserve">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Didactief</w:t>
      </w:r>
      <w:proofErr w:type="spellEnd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. </w:t>
      </w:r>
      <w:hyperlink r:id="rId12" w:history="1">
        <w:r w:rsidRPr="000102D8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https://didactiefonline.nl/artikel/geef-ook-jongens-rolmodellen</w:t>
        </w:r>
      </w:hyperlink>
    </w:p>
    <w:p w14:paraId="0BED76A6" w14:textId="2FED7BE6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4B6E5DE" w14:textId="379D6225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BCAFFE2" w14:textId="25C73DCC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9A7387" w14:textId="77777777" w:rsidR="00620B10" w:rsidRDefault="00620B1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7CCFA048" w14:textId="77777777" w:rsidR="006D098A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17719E39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lastRenderedPageBreak/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13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14AF7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14AF7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14AF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77777777" w:rsidR="0024321F" w:rsidRPr="0041586E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 xml:space="preserve">Sociale en Culturele Tegenstellingen in Nederland survey (SOCON Nijmegen).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69151DBB" w:rsidR="00C33C18" w:rsidRPr="0041586E" w:rsidRDefault="000F3FB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Sociale en Culturele Tegenstellingen in Nederland survey 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29CF81B4" w:rsidR="006D098A" w:rsidRPr="006D098A" w:rsidRDefault="005C744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 bachelor thesis: collected data on how live music performances affected quality of life of psychogeriatric patients (observation as well as questionnaires filled in by staff / family members)</w:t>
      </w:r>
    </w:p>
    <w:p w14:paraId="1A2956AA" w14:textId="77777777" w:rsidR="006D098A" w:rsidRDefault="006D098A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D55C179" w14:textId="6CB903F9" w:rsidR="00A43DAB" w:rsidRPr="00A232DD" w:rsidRDefault="00A43DAB" w:rsidP="00A43DAB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Grants</w:t>
      </w:r>
    </w:p>
    <w:p w14:paraId="2DEC016B" w14:textId="77777777" w:rsidR="00A43DAB" w:rsidRPr="00A232DD" w:rsidRDefault="00A43DA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8261F" wp14:editId="2D2B2F0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228A" id="AutoShape 6" o:spid="_x0000_s1026" type="#_x0000_t32" style="position:absolute;margin-left:0;margin-top:4.6pt;width:471.85pt;height: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</w:p>
    <w:p w14:paraId="51FF4421" w14:textId="468FB18C" w:rsidR="00A43DAB" w:rsidRPr="00A43DAB" w:rsidRDefault="00A43DAB" w:rsidP="00A43DAB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 xml:space="preserve">Submitted: Collaboration with Professor Pia Schober (University of Tubingen), submitted to the German Research foundation. Title: </w:t>
      </w:r>
      <w:r w:rsidRPr="00A43DAB">
        <w:rPr>
          <w:rFonts w:ascii="Garamond" w:hAnsi="Garamond"/>
          <w:sz w:val="22"/>
          <w:szCs w:val="22"/>
          <w:lang w:val="en-US"/>
        </w:rPr>
        <w:t>“</w:t>
      </w:r>
      <w:r w:rsidRPr="00A43DAB">
        <w:rPr>
          <w:rFonts w:ascii="Garamond" w:hAnsi="Garamond"/>
          <w:bCs/>
          <w:sz w:val="22"/>
          <w:szCs w:val="22"/>
          <w:lang w:val="en-US"/>
        </w:rPr>
        <w:t>Parental socialization influences on gender-related beliefs, activities, and occupational aspirations across diverse families: Interdependencies with sex hormones, family processes and socio-political context”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(€</w:t>
      </w:r>
      <w:proofErr w:type="gramStart"/>
      <w:r>
        <w:rPr>
          <w:rFonts w:ascii="Garamond" w:hAnsi="Garamond"/>
          <w:sz w:val="22"/>
          <w:szCs w:val="22"/>
          <w:lang w:val="en-US"/>
        </w:rPr>
        <w:t>256,044</w:t>
      </w:r>
      <w:r w:rsidRPr="002E6940">
        <w:rPr>
          <w:rFonts w:ascii="Garamond" w:hAnsi="Garamond"/>
          <w:sz w:val="22"/>
          <w:szCs w:val="22"/>
          <w:lang w:val="en-US"/>
        </w:rPr>
        <w:t>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</w:t>
      </w:r>
      <w:r w:rsidRPr="00A43DAB">
        <w:rPr>
          <w:rFonts w:ascii="Garamond" w:hAnsi="Garamond"/>
          <w:bCs/>
          <w:sz w:val="22"/>
          <w:szCs w:val="22"/>
          <w:lang w:val="en-US"/>
        </w:rPr>
        <w:t>.</w:t>
      </w:r>
    </w:p>
    <w:p w14:paraId="48E59329" w14:textId="77777777" w:rsidR="00A43DAB" w:rsidRDefault="00A43DAB" w:rsidP="00A43DAB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2A4B5853" w14:textId="77777777" w:rsidR="00A43DAB" w:rsidRPr="002E6940" w:rsidRDefault="00A43DAB" w:rsidP="00A43DAB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 xml:space="preserve">2013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Approved PhD grant proposal for talented academics with 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  <w:r w:rsidRPr="002E6940">
        <w:rPr>
          <w:rFonts w:ascii="Garamond" w:hAnsi="Garamond"/>
          <w:sz w:val="22"/>
          <w:szCs w:val="22"/>
          <w:lang w:val="en-US"/>
        </w:rPr>
        <w:t>Title: “Gendered Choices: school and field of study trajectories of male and female adolescents in four European countries”. (€</w:t>
      </w:r>
      <w:proofErr w:type="gramStart"/>
      <w:r w:rsidRPr="002E6940">
        <w:rPr>
          <w:rFonts w:ascii="Garamond" w:hAnsi="Garamond"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14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131604FC" w14:textId="4BC376B8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February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3CEF8AC2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Genderstereotiepe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2E7C7107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Waarom kiezen jongens en meisjes verschillen?”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2B34A15F" w14:textId="354FA28E" w:rsidR="00EB5ABC" w:rsidRDefault="00EB5ABC" w:rsidP="00EB5ABC">
      <w:pPr>
        <w:pStyle w:val="Kop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Upcoming: 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Kop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jstalinea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77777777" w:rsidR="006D098A" w:rsidRPr="00356B0A" w:rsidRDefault="006D098A" w:rsidP="006D098A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Review, International Sociology,</w:t>
      </w:r>
      <w:r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1E105EF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0AD73A5" w14:textId="77777777" w:rsidR="006D098A" w:rsidRPr="00A232DD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679DCC79" w14:textId="76DF8068" w:rsidR="005C7441" w:rsidRPr="00A232DD" w:rsidRDefault="005C7441" w:rsidP="0024321F">
      <w:pPr>
        <w:ind w:left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Worked with prof. dr. Herman van de 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Werfhorst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who is professor in sociology and director of director of the Amsterdam Centre for Inequality Studies (AMCIS) and 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dr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Stephanie Steinmetz a</w:t>
      </w:r>
      <w:r w:rsidRPr="002E6940">
        <w:rPr>
          <w:rFonts w:ascii="Garamond" w:hAnsi="Garamond"/>
          <w:sz w:val="22"/>
          <w:szCs w:val="22"/>
          <w:lang w:val="en-US"/>
        </w:rPr>
        <w:t>ssistant professor of Sociology at the University of Amsterdam and senior researcher at the Erasmus Studio Rotterdam.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0FBD6391" w14:textId="77777777" w:rsidR="005C7441" w:rsidRPr="00A232DD" w:rsidRDefault="005C7441" w:rsidP="0024321F">
      <w:pPr>
        <w:ind w:left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For prof. dr. Kevin Eva who is editor-in-chief for the journal Medical Education and Senior Scientist in CHES.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lastRenderedPageBreak/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A834008" w14:textId="77777777" w:rsidR="005C7441" w:rsidRPr="00A232DD" w:rsidRDefault="005C7441" w:rsidP="0024321F">
      <w:pPr>
        <w:ind w:left="1416" w:firstLine="708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Main tasks: Acquiring funding and data-handling.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77777777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77777777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77777777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77777777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lastRenderedPageBreak/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6CD7DC1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Jak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Joop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Hox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305B014F" w14:textId="0CC68BEF" w:rsidR="000B65FA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 xml:space="preserve">9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 xml:space="preserve">European Sociological Association RN23 – Sexuality &amp; RN10 Sociology of Education. </w:t>
      </w:r>
    </w:p>
    <w:p w14:paraId="7F65B1CE" w14:textId="0AC12FFF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2015-present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Interuniversity Study Group Social Stratification and Life Course (ISOL)</w:t>
      </w:r>
    </w:p>
    <w:p w14:paraId="7B631B40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 xml:space="preserve">2015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Institutions, Inequalities, and Life courses (IIL) seminars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2013-</w:t>
      </w:r>
      <w:r w:rsidR="00356B0A">
        <w:rPr>
          <w:rFonts w:ascii="Garamond" w:hAnsi="Garamond"/>
          <w:sz w:val="22"/>
          <w:szCs w:val="22"/>
          <w:lang w:val="en-US"/>
        </w:rPr>
        <w:t>2017</w:t>
      </w:r>
      <w:r w:rsidRPr="00A232DD">
        <w:rPr>
          <w:rFonts w:ascii="Garamond" w:hAnsi="Garamond"/>
          <w:sz w:val="22"/>
          <w:szCs w:val="22"/>
          <w:lang w:val="en-US"/>
        </w:rPr>
        <w:tab/>
        <w:t>Work and family seminar (W&amp;F).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15C76E89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>English (fluent), Dutch (native), German (reading)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ab/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Default="003930F3" w:rsidP="0024321F">
      <w:pPr>
        <w:jc w:val="both"/>
      </w:pPr>
    </w:p>
    <w:sectPr w:rsidR="003930F3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102D8"/>
    <w:rsid w:val="0001586F"/>
    <w:rsid w:val="000347AF"/>
    <w:rsid w:val="00037CDA"/>
    <w:rsid w:val="00085A3A"/>
    <w:rsid w:val="000A0D00"/>
    <w:rsid w:val="000B0483"/>
    <w:rsid w:val="000B65FA"/>
    <w:rsid w:val="000D25A7"/>
    <w:rsid w:val="000F3FB1"/>
    <w:rsid w:val="00150F6B"/>
    <w:rsid w:val="00154AD2"/>
    <w:rsid w:val="001846B9"/>
    <w:rsid w:val="001B532B"/>
    <w:rsid w:val="0024321F"/>
    <w:rsid w:val="00270CCB"/>
    <w:rsid w:val="002F63CF"/>
    <w:rsid w:val="00306AEB"/>
    <w:rsid w:val="0034266B"/>
    <w:rsid w:val="00347006"/>
    <w:rsid w:val="00356B0A"/>
    <w:rsid w:val="00385B31"/>
    <w:rsid w:val="003930F3"/>
    <w:rsid w:val="00393D19"/>
    <w:rsid w:val="003A1DF8"/>
    <w:rsid w:val="003A768C"/>
    <w:rsid w:val="003C1D8F"/>
    <w:rsid w:val="0041586E"/>
    <w:rsid w:val="0042286B"/>
    <w:rsid w:val="00462CC8"/>
    <w:rsid w:val="00487766"/>
    <w:rsid w:val="004A4C9F"/>
    <w:rsid w:val="004F3AA4"/>
    <w:rsid w:val="004F7C5B"/>
    <w:rsid w:val="0052637F"/>
    <w:rsid w:val="0053010D"/>
    <w:rsid w:val="005403FC"/>
    <w:rsid w:val="00542E70"/>
    <w:rsid w:val="005432DE"/>
    <w:rsid w:val="00560D0A"/>
    <w:rsid w:val="00585170"/>
    <w:rsid w:val="00597B63"/>
    <w:rsid w:val="005C3FBC"/>
    <w:rsid w:val="005C7441"/>
    <w:rsid w:val="005F5323"/>
    <w:rsid w:val="005F7AC7"/>
    <w:rsid w:val="00620B10"/>
    <w:rsid w:val="00653936"/>
    <w:rsid w:val="006B4E0E"/>
    <w:rsid w:val="006D098A"/>
    <w:rsid w:val="006D42B8"/>
    <w:rsid w:val="00714AF7"/>
    <w:rsid w:val="007538B4"/>
    <w:rsid w:val="007E1111"/>
    <w:rsid w:val="007F121D"/>
    <w:rsid w:val="00836E33"/>
    <w:rsid w:val="008875AE"/>
    <w:rsid w:val="008B3720"/>
    <w:rsid w:val="008D762C"/>
    <w:rsid w:val="008F37F4"/>
    <w:rsid w:val="009370F0"/>
    <w:rsid w:val="00937A46"/>
    <w:rsid w:val="009E7886"/>
    <w:rsid w:val="009F19EC"/>
    <w:rsid w:val="00A419D6"/>
    <w:rsid w:val="00A43DAB"/>
    <w:rsid w:val="00A524BB"/>
    <w:rsid w:val="00AB7B01"/>
    <w:rsid w:val="00AD6AFC"/>
    <w:rsid w:val="00AF1F61"/>
    <w:rsid w:val="00B12BE6"/>
    <w:rsid w:val="00B22C4A"/>
    <w:rsid w:val="00B24AF5"/>
    <w:rsid w:val="00B32A7F"/>
    <w:rsid w:val="00BA6A7A"/>
    <w:rsid w:val="00C1127C"/>
    <w:rsid w:val="00C30328"/>
    <w:rsid w:val="00C33C18"/>
    <w:rsid w:val="00C54B7E"/>
    <w:rsid w:val="00C82442"/>
    <w:rsid w:val="00C92E64"/>
    <w:rsid w:val="00CA2D0A"/>
    <w:rsid w:val="00CC11CA"/>
    <w:rsid w:val="00CC7CE6"/>
    <w:rsid w:val="00CF579B"/>
    <w:rsid w:val="00D50989"/>
    <w:rsid w:val="00DF6D97"/>
    <w:rsid w:val="00E022BF"/>
    <w:rsid w:val="00EB5ABC"/>
    <w:rsid w:val="00EF258F"/>
    <w:rsid w:val="00F57B2B"/>
    <w:rsid w:val="00FB09F3"/>
    <w:rsid w:val="00FD355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jstalinea">
    <w:name w:val="List Paragraph"/>
    <w:basedOn w:val="Standaard"/>
    <w:uiPriority w:val="34"/>
    <w:qFormat/>
    <w:rsid w:val="00487766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C7CE6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055698.2016.1160821" TargetMode="External"/><Relationship Id="rId13" Type="http://schemas.openxmlformats.org/officeDocument/2006/relationships/hyperlink" Target="http://www.cils4eu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library.uu.nl/handle/1874/359560" TargetMode="External"/><Relationship Id="rId12" Type="http://schemas.openxmlformats.org/officeDocument/2006/relationships/hyperlink" Target="https://didactiefonline.nl/artikel/geef-ook-jongens-rolmodell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berj.3329" TargetMode="External"/><Relationship Id="rId11" Type="http://schemas.openxmlformats.org/officeDocument/2006/relationships/hyperlink" Target="https://www.dub.uu.nl/nl/achtergrond/genderstereotiepe-studiekeuze-blame-your-friends-and-family" TargetMode="External"/><Relationship Id="rId5" Type="http://schemas.openxmlformats.org/officeDocument/2006/relationships/hyperlink" Target="https://doi.org/10.1080/13803611.2019.15895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undcloud.com/user-864747685/fascinatievolger-deel-3-dr-maaike-van-der-vleu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ec.2012.05.012" TargetMode="External"/><Relationship Id="rId14" Type="http://schemas.openxmlformats.org/officeDocument/2006/relationships/hyperlink" Target="http://www.gender4stem-project.eu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 van der Vleuten</cp:lastModifiedBy>
  <cp:revision>3</cp:revision>
  <dcterms:created xsi:type="dcterms:W3CDTF">2019-08-08T11:50:00Z</dcterms:created>
  <dcterms:modified xsi:type="dcterms:W3CDTF">2019-08-08T11:50:00Z</dcterms:modified>
</cp:coreProperties>
</file>